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7D72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56"/>
          <w:szCs w:val="60"/>
        </w:rPr>
      </w:pPr>
      <w:proofErr w:type="spellStart"/>
      <w:r w:rsidRPr="006743F3">
        <w:rPr>
          <w:rFonts w:ascii="Arial" w:hAnsi="Arial" w:cs="Arial"/>
          <w:color w:val="000000" w:themeColor="text1"/>
          <w:sz w:val="56"/>
          <w:szCs w:val="60"/>
        </w:rPr>
        <w:t>Regulation</w:t>
      </w:r>
      <w:proofErr w:type="spellEnd"/>
      <w:r w:rsidRPr="006743F3">
        <w:rPr>
          <w:rFonts w:ascii="Arial" w:hAnsi="Arial" w:cs="Arial"/>
          <w:color w:val="000000" w:themeColor="text1"/>
          <w:sz w:val="56"/>
          <w:szCs w:val="60"/>
        </w:rPr>
        <w:t xml:space="preserve"> of training </w:t>
      </w:r>
      <w:proofErr w:type="spellStart"/>
      <w:r w:rsidRPr="006743F3">
        <w:rPr>
          <w:rFonts w:ascii="Arial" w:hAnsi="Arial" w:cs="Arial"/>
          <w:color w:val="000000" w:themeColor="text1"/>
          <w:sz w:val="56"/>
          <w:szCs w:val="60"/>
        </w:rPr>
        <w:t>activities</w:t>
      </w:r>
      <w:proofErr w:type="spellEnd"/>
    </w:p>
    <w:p w14:paraId="67114B83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6743F3">
        <w:rPr>
          <w:rFonts w:ascii="Arial" w:hAnsi="Arial" w:cs="Arial"/>
          <w:color w:val="000000" w:themeColor="text1"/>
          <w:szCs w:val="28"/>
        </w:rPr>
        <w:t> </w:t>
      </w:r>
    </w:p>
    <w:p w14:paraId="1D8ADD46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 w:rsidRPr="006743F3">
        <w:rPr>
          <w:rFonts w:ascii="Arial" w:hAnsi="Arial" w:cs="Arial"/>
          <w:color w:val="000000" w:themeColor="text1"/>
          <w:szCs w:val="28"/>
        </w:rPr>
        <w:t>During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three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years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Doctoral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Program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following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training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activities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are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mandatory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.</w:t>
      </w:r>
    </w:p>
    <w:p w14:paraId="7357837E" w14:textId="77777777" w:rsidR="004605EF" w:rsidRPr="006743F3" w:rsidRDefault="004605EF" w:rsidP="006743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 w:themeColor="text1"/>
          <w:szCs w:val="28"/>
        </w:rPr>
      </w:pPr>
      <w:r w:rsidRPr="006743F3">
        <w:rPr>
          <w:rFonts w:ascii="Arial" w:hAnsi="Arial" w:cs="Arial"/>
          <w:color w:val="000000" w:themeColor="text1"/>
          <w:szCs w:val="28"/>
        </w:rPr>
        <w:t xml:space="preserve">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must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obtain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6 CFU from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one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master-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6 CFU from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one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master-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bachelor-level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after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final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assessment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could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done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doing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exam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or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project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arranged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with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lecturer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or by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giving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 seminar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presence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</w:t>
      </w:r>
      <w:hyperlink r:id="rId5" w:history="1">
        <w:r w:rsidRPr="006743F3">
          <w:rPr>
            <w:rFonts w:ascii="Arial" w:hAnsi="Arial" w:cs="Arial"/>
            <w:color w:val="000000" w:themeColor="text1"/>
            <w:szCs w:val="28"/>
          </w:rPr>
          <w:t>Reference Group</w:t>
        </w:r>
      </w:hyperlink>
      <w:r w:rsidRPr="006743F3">
        <w:rPr>
          <w:rFonts w:ascii="Arial" w:hAnsi="Arial" w:cs="Arial"/>
          <w:color w:val="000000" w:themeColor="text1"/>
          <w:szCs w:val="28"/>
        </w:rPr>
        <w:t>.</w:t>
      </w:r>
    </w:p>
    <w:p w14:paraId="7F5C7A65" w14:textId="77777777" w:rsidR="004605EF" w:rsidRDefault="004605EF" w:rsidP="006743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 w:themeColor="text1"/>
          <w:szCs w:val="28"/>
        </w:rPr>
      </w:pPr>
      <w:r w:rsidRPr="006743F3">
        <w:rPr>
          <w:rFonts w:ascii="Arial" w:hAnsi="Arial" w:cs="Arial"/>
          <w:color w:val="000000" w:themeColor="text1"/>
          <w:szCs w:val="28"/>
        </w:rPr>
        <w:t xml:space="preserve">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must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obtain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18 CFU from ad-hoc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(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that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advanced-level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) and/or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participation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workshops,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tutorials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short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scientific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seminars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Concerning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advanced-level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1 CFU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corresponds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25 hours of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studying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including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six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hours of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lecture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partial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final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exams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If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advanced-level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already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provides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CFU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assignment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then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formal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assignment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will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considered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independently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from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above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mentioned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CFU/hours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correspondence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Concerning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workshops,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tutorials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short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scientific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seminars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, 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 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will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assigned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0.1 CFU per hour of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attendance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For ad-hoc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CFU are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assigned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lecturer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after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final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assessment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arranged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with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her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/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his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supervisor, or by the Reference Group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after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verification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acquired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skills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(for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example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by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means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a seminar or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project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).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must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give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 seminar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end of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year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any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which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final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assessment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not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explicitly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indicated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other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educational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activities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than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ad-hoc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CFU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accreditation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can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either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certified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lecture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educational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filling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in </w:t>
      </w:r>
      <w:hyperlink r:id="rId6" w:history="1">
        <w:proofErr w:type="spellStart"/>
        <w:r w:rsidRPr="006743F3">
          <w:rPr>
            <w:rFonts w:ascii="Arial" w:hAnsi="Arial" w:cs="Arial"/>
            <w:color w:val="000000" w:themeColor="text1"/>
            <w:szCs w:val="28"/>
          </w:rPr>
          <w:t>this</w:t>
        </w:r>
        <w:proofErr w:type="spellEnd"/>
        <w:r w:rsidRPr="006743F3">
          <w:rPr>
            <w:rFonts w:ascii="Arial" w:hAnsi="Arial" w:cs="Arial"/>
            <w:color w:val="000000" w:themeColor="text1"/>
            <w:szCs w:val="28"/>
          </w:rPr>
          <w:t xml:space="preserve"> </w:t>
        </w:r>
        <w:proofErr w:type="spellStart"/>
        <w:r w:rsidRPr="006743F3">
          <w:rPr>
            <w:rFonts w:ascii="Arial" w:hAnsi="Arial" w:cs="Arial"/>
            <w:color w:val="000000" w:themeColor="text1"/>
            <w:szCs w:val="28"/>
          </w:rPr>
          <w:t>form</w:t>
        </w:r>
        <w:proofErr w:type="spellEnd"/>
      </w:hyperlink>
      <w:r w:rsidRPr="006743F3">
        <w:rPr>
          <w:rFonts w:ascii="Arial" w:hAnsi="Arial" w:cs="Arial"/>
          <w:color w:val="000000" w:themeColor="text1"/>
          <w:szCs w:val="28"/>
        </w:rPr>
        <w:t xml:space="preserve">, or via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verification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Reference Group.</w:t>
      </w:r>
    </w:p>
    <w:p w14:paraId="0B797A85" w14:textId="77777777" w:rsidR="006743F3" w:rsidRPr="006743F3" w:rsidRDefault="006743F3" w:rsidP="006743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 w:themeColor="text1"/>
          <w:szCs w:val="28"/>
        </w:rPr>
      </w:pPr>
      <w:bookmarkStart w:id="0" w:name="_GoBack"/>
      <w:bookmarkEnd w:id="0"/>
    </w:p>
    <w:p w14:paraId="19D07E30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 w:rsidRPr="006743F3">
        <w:rPr>
          <w:rFonts w:ascii="Arial" w:hAnsi="Arial" w:cs="Arial"/>
          <w:color w:val="000000" w:themeColor="text1"/>
          <w:szCs w:val="28"/>
        </w:rPr>
        <w:t>Bachelor-level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, master-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advanced-level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added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annual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planned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will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decided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in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agreement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with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her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/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his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supervisor and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corresponding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Reference Group. In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order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for the </w:t>
      </w:r>
      <w:hyperlink r:id="rId7" w:history="1">
        <w:proofErr w:type="spellStart"/>
        <w:r w:rsidRPr="006743F3">
          <w:rPr>
            <w:rFonts w:ascii="Arial" w:hAnsi="Arial" w:cs="Arial"/>
            <w:color w:val="000000" w:themeColor="text1"/>
            <w:szCs w:val="28"/>
          </w:rPr>
          <w:t>Doctoral</w:t>
        </w:r>
        <w:proofErr w:type="spellEnd"/>
        <w:r w:rsidRPr="006743F3">
          <w:rPr>
            <w:rFonts w:ascii="Arial" w:hAnsi="Arial" w:cs="Arial"/>
            <w:color w:val="000000" w:themeColor="text1"/>
            <w:szCs w:val="28"/>
          </w:rPr>
          <w:t xml:space="preserve"> Program </w:t>
        </w:r>
        <w:proofErr w:type="spellStart"/>
        <w:r w:rsidRPr="006743F3">
          <w:rPr>
            <w:rFonts w:ascii="Arial" w:hAnsi="Arial" w:cs="Arial"/>
            <w:color w:val="000000" w:themeColor="text1"/>
            <w:szCs w:val="28"/>
          </w:rPr>
          <w:t>Committee</w:t>
        </w:r>
        <w:proofErr w:type="spellEnd"/>
      </w:hyperlink>
      <w:r w:rsidRPr="006743F3">
        <w:rPr>
          <w:rFonts w:ascii="Arial" w:hAnsi="Arial" w:cs="Arial"/>
          <w:color w:val="000000" w:themeColor="text1"/>
          <w:szCs w:val="28"/>
        </w:rPr>
        <w:t xml:space="preserve"> to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approve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accreditation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CFU,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must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obtain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authorization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from the Reference Group.</w:t>
      </w:r>
    </w:p>
    <w:p w14:paraId="6E85B6E6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holding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also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positions in companies can propose an alternative training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activity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which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will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evaluated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Reference Group and,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after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that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approved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by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Doctoral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Program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Committee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.</w:t>
      </w:r>
    </w:p>
    <w:p w14:paraId="1AC68FFD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6743F3">
        <w:rPr>
          <w:rFonts w:ascii="Arial" w:hAnsi="Arial" w:cs="Arial"/>
          <w:color w:val="000000" w:themeColor="text1"/>
          <w:szCs w:val="28"/>
        </w:rPr>
        <w:t xml:space="preserve">The list of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advanced-level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divided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different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curricula.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However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can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also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attend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belonging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other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curricula in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order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gain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mandatory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CFU or for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scientific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interest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. In the last case, the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student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is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not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required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to pass a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final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assessment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>.</w:t>
      </w:r>
    </w:p>
    <w:p w14:paraId="4E8EAF41" w14:textId="77777777" w:rsidR="004605EF" w:rsidRPr="006743F3" w:rsidRDefault="004605EF" w:rsidP="006743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 w:rsidRPr="006743F3">
        <w:rPr>
          <w:rFonts w:ascii="Arial" w:hAnsi="Arial" w:cs="Arial"/>
          <w:color w:val="000000" w:themeColor="text1"/>
          <w:szCs w:val="28"/>
        </w:rPr>
        <w:t>PhD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supervisors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Reference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Groups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members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Doctoral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Program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Committee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can propose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courses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, graduate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schools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and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seminars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with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advertisement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on th</w:t>
      </w:r>
      <w:r w:rsidRPr="006743F3">
        <w:rPr>
          <w:rFonts w:ascii="Arial" w:hAnsi="Arial" w:cs="Arial"/>
          <w:color w:val="000000" w:themeColor="text1"/>
          <w:szCs w:val="28"/>
        </w:rPr>
        <w:t xml:space="preserve">e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specific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6743F3">
        <w:rPr>
          <w:rFonts w:ascii="Arial" w:hAnsi="Arial" w:cs="Arial"/>
          <w:color w:val="000000" w:themeColor="text1"/>
          <w:szCs w:val="28"/>
        </w:rPr>
        <w:t>section</w:t>
      </w:r>
      <w:proofErr w:type="spellEnd"/>
      <w:r w:rsidRPr="006743F3">
        <w:rPr>
          <w:rFonts w:ascii="Arial" w:hAnsi="Arial" w:cs="Arial"/>
          <w:color w:val="000000" w:themeColor="text1"/>
          <w:szCs w:val="28"/>
        </w:rPr>
        <w:t xml:space="preserve"> of the website</w:t>
      </w:r>
    </w:p>
    <w:p w14:paraId="52E6425B" w14:textId="77777777" w:rsidR="00F33898" w:rsidRPr="006743F3" w:rsidRDefault="004605EF" w:rsidP="006743F3">
      <w:pPr>
        <w:spacing w:line="276" w:lineRule="auto"/>
        <w:jc w:val="both"/>
        <w:rPr>
          <w:color w:val="000000" w:themeColor="text1"/>
          <w:sz w:val="22"/>
        </w:rPr>
      </w:pPr>
      <w:r w:rsidRPr="006743F3">
        <w:rPr>
          <w:rFonts w:ascii="Arial" w:hAnsi="Arial" w:cs="Arial"/>
          <w:i/>
          <w:iCs/>
          <w:color w:val="000000" w:themeColor="text1"/>
          <w:szCs w:val="28"/>
        </w:rPr>
        <w:t xml:space="preserve">Last update: </w:t>
      </w:r>
      <w:proofErr w:type="spellStart"/>
      <w:r w:rsidRPr="006743F3">
        <w:rPr>
          <w:rFonts w:ascii="Arial" w:hAnsi="Arial" w:cs="Arial"/>
          <w:i/>
          <w:iCs/>
          <w:color w:val="000000" w:themeColor="text1"/>
          <w:szCs w:val="28"/>
        </w:rPr>
        <w:t>September</w:t>
      </w:r>
      <w:proofErr w:type="spellEnd"/>
      <w:r w:rsidRPr="006743F3">
        <w:rPr>
          <w:rFonts w:ascii="Arial" w:hAnsi="Arial" w:cs="Arial"/>
          <w:i/>
          <w:iCs/>
          <w:color w:val="000000" w:themeColor="text1"/>
          <w:szCs w:val="28"/>
        </w:rPr>
        <w:t xml:space="preserve"> 29, 2016.</w:t>
      </w:r>
    </w:p>
    <w:sectPr w:rsidR="00F33898" w:rsidRPr="006743F3" w:rsidSect="002C3A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F"/>
    <w:rsid w:val="002C3A0D"/>
    <w:rsid w:val="004605EF"/>
    <w:rsid w:val="006743F3"/>
    <w:rsid w:val="009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9B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dict.disim.univaq.it/doctoral-program/reference-groups-2/" TargetMode="External"/><Relationship Id="rId6" Type="http://schemas.openxmlformats.org/officeDocument/2006/relationships/hyperlink" Target="http://phdict.disim.univaq.it/wp-content/uploads/2016/09/CFU-certificate.pdf" TargetMode="External"/><Relationship Id="rId7" Type="http://schemas.openxmlformats.org/officeDocument/2006/relationships/hyperlink" Target="http://phdict.disim.univaq.it/phd-program-committe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Macintosh Word</Application>
  <DocSecurity>0</DocSecurity>
  <Lines>21</Lines>
  <Paragraphs>6</Paragraphs>
  <ScaleCrop>false</ScaleCrop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 Girolamo</dc:creator>
  <cp:keywords/>
  <dc:description/>
  <cp:lastModifiedBy>Gianni Di Girolamo</cp:lastModifiedBy>
  <cp:revision>2</cp:revision>
  <cp:lastPrinted>2016-10-04T12:28:00Z</cp:lastPrinted>
  <dcterms:created xsi:type="dcterms:W3CDTF">2016-10-04T12:32:00Z</dcterms:created>
  <dcterms:modified xsi:type="dcterms:W3CDTF">2016-10-04T12:32:00Z</dcterms:modified>
</cp:coreProperties>
</file>